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44" w:rsidRPr="007D4CC7" w:rsidRDefault="00A4067D" w:rsidP="006E2E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7D4CC7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Admiterea</w:t>
      </w:r>
      <w:r w:rsidR="00F87644" w:rsidRPr="007D4CC7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la studii superioare</w:t>
      </w:r>
    </w:p>
    <w:p w:rsidR="00F87644" w:rsidRPr="007D4CC7" w:rsidRDefault="00F87644" w:rsidP="00F876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7D4CC7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Sesiunea 201</w:t>
      </w:r>
      <w:r w:rsidR="002C0CEA" w:rsidRPr="007D4CC7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8</w:t>
      </w:r>
    </w:p>
    <w:p w:rsidR="00B2149F" w:rsidRPr="007D4CC7" w:rsidRDefault="00B2149F" w:rsidP="0014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D4C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Începând cu 16 iulie </w:t>
      </w:r>
      <w:r w:rsidR="007D4CC7" w:rsidRPr="007D4CC7">
        <w:rPr>
          <w:rFonts w:ascii="Times New Roman" w:eastAsia="Times New Roman" w:hAnsi="Times New Roman" w:cs="Times New Roman"/>
          <w:sz w:val="28"/>
          <w:szCs w:val="28"/>
          <w:lang w:val="ro-RO"/>
        </w:rPr>
        <w:t>2018 mai multe universități</w:t>
      </w:r>
      <w:r w:rsidRPr="007D4C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țară demar</w:t>
      </w:r>
      <w:r w:rsidR="00C91158" w:rsidRPr="007D4CC7">
        <w:rPr>
          <w:rFonts w:ascii="Times New Roman" w:eastAsia="Times New Roman" w:hAnsi="Times New Roman" w:cs="Times New Roman"/>
          <w:sz w:val="28"/>
          <w:szCs w:val="28"/>
          <w:lang w:val="ro-RO"/>
        </w:rPr>
        <w:t>ează</w:t>
      </w:r>
      <w:r w:rsidRPr="007D4C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procesul de</w:t>
      </w:r>
      <w:r w:rsidR="00B40A5A" w:rsidRPr="007D4C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admitere</w:t>
      </w:r>
      <w:r w:rsidR="00C91158" w:rsidRPr="007D4C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D4C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</w:t>
      </w:r>
      <w:r w:rsidR="00C91158" w:rsidRPr="007D4C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cele </w:t>
      </w:r>
      <w:r w:rsidRPr="007D4CC7">
        <w:rPr>
          <w:rFonts w:ascii="Times New Roman" w:eastAsia="Times New Roman" w:hAnsi="Times New Roman" w:cs="Times New Roman"/>
          <w:sz w:val="28"/>
          <w:szCs w:val="28"/>
          <w:lang w:val="ro-RO"/>
        </w:rPr>
        <w:t>167 de specialități</w:t>
      </w:r>
      <w:r w:rsidR="00C91158" w:rsidRPr="007D4C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/programe de studii </w:t>
      </w:r>
      <w:r w:rsidR="00A55F46" w:rsidRPr="007D4C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</w:t>
      </w:r>
      <w:r w:rsidR="00C91158" w:rsidRPr="007D4C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cadrul instituțiilor </w:t>
      </w:r>
      <w:r w:rsidR="00A55F46" w:rsidRPr="007D4CC7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="00C91158" w:rsidRPr="007D4CC7">
        <w:rPr>
          <w:rFonts w:ascii="Times New Roman" w:eastAsia="Times New Roman" w:hAnsi="Times New Roman" w:cs="Times New Roman"/>
          <w:sz w:val="28"/>
          <w:szCs w:val="28"/>
          <w:lang w:val="ro-RO"/>
        </w:rPr>
        <w:t>e învățământ superior</w:t>
      </w:r>
      <w:r w:rsidR="00A55F46" w:rsidRPr="007D4C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țară.</w:t>
      </w:r>
    </w:p>
    <w:p w:rsidR="001474C9" w:rsidRDefault="001474C9" w:rsidP="0014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87644" w:rsidRPr="007D4CC7" w:rsidRDefault="00A4067D" w:rsidP="0014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D4CC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conformitate cu </w:t>
      </w:r>
      <w:r w:rsidR="0060703D" w:rsidRPr="007D4CC7">
        <w:rPr>
          <w:rFonts w:ascii="Times New Roman" w:hAnsi="Times New Roman" w:cs="Times New Roman"/>
          <w:sz w:val="28"/>
          <w:szCs w:val="28"/>
          <w:lang w:val="ro-RO"/>
        </w:rPr>
        <w:t>Hotăr</w:t>
      </w:r>
      <w:r w:rsidR="00B2149F" w:rsidRPr="007D4CC7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60703D"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rea Guvernului nr. </w:t>
      </w:r>
      <w:r w:rsidR="00B2149F"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649 </w:t>
      </w:r>
      <w:r w:rsidR="0060703D"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B2149F" w:rsidRPr="007D4CC7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60703D" w:rsidRPr="007D4CC7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2C0CEA" w:rsidRPr="007D4CC7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60703D" w:rsidRPr="007D4CC7">
        <w:rPr>
          <w:rFonts w:ascii="Times New Roman" w:hAnsi="Times New Roman" w:cs="Times New Roman"/>
          <w:sz w:val="28"/>
          <w:szCs w:val="28"/>
          <w:lang w:val="ro-RO"/>
        </w:rPr>
        <w:t>.201</w:t>
      </w:r>
      <w:r w:rsidR="002C0CEA" w:rsidRPr="007D4CC7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60703D"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703D" w:rsidRPr="007D4CC7">
        <w:rPr>
          <w:rFonts w:ascii="Times New Roman" w:hAnsi="Times New Roman" w:cs="Times New Roman"/>
          <w:i/>
          <w:sz w:val="28"/>
          <w:szCs w:val="28"/>
          <w:lang w:val="ro-RO"/>
        </w:rPr>
        <w:t>C</w:t>
      </w:r>
      <w:r w:rsidR="0060703D" w:rsidRPr="007D4C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o-RO"/>
        </w:rPr>
        <w:t xml:space="preserve">u privire la planul (comanda de stat) de pregătire a cadrelor de specialitate pe  specialități și domenii generale de studii, în instituțiile de </w:t>
      </w:r>
      <w:r w:rsidR="007D4CC7" w:rsidRPr="007D4C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o-RO"/>
        </w:rPr>
        <w:t>învățământ</w:t>
      </w:r>
      <w:r w:rsidR="0060703D" w:rsidRPr="007D4C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o-RO"/>
        </w:rPr>
        <w:t xml:space="preserve"> superior pentru anul de studii </w:t>
      </w:r>
      <w:r w:rsidR="0060703D" w:rsidRPr="007D4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201</w:t>
      </w:r>
      <w:r w:rsidR="002C0CEA" w:rsidRPr="007D4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8</w:t>
      </w:r>
      <w:r w:rsidR="0060703D" w:rsidRPr="007D4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-201</w:t>
      </w:r>
      <w:r w:rsidR="002C0CEA" w:rsidRPr="007D4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  <w:t>9</w:t>
      </w:r>
      <w:r w:rsidR="00DA5684" w:rsidRPr="007D4CC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87644"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locurile la </w:t>
      </w:r>
      <w:r w:rsidR="006F699F" w:rsidRPr="007D4CC7">
        <w:rPr>
          <w:rFonts w:ascii="Times New Roman" w:hAnsi="Times New Roman" w:cs="Times New Roman"/>
          <w:sz w:val="28"/>
          <w:szCs w:val="28"/>
          <w:lang w:val="ro-RO"/>
        </w:rPr>
        <w:t>admiterea 201</w:t>
      </w:r>
      <w:r w:rsidR="006D48F0" w:rsidRPr="007D4CC7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6F699F"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 se repartizează după cum urmează</w:t>
      </w:r>
      <w:r w:rsidR="00F87644" w:rsidRPr="007D4CC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474C9" w:rsidRDefault="001474C9" w:rsidP="001474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C91158" w:rsidRPr="007D4CC7" w:rsidRDefault="002C0CEA" w:rsidP="001474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În</w:t>
      </w:r>
      <w:r w:rsidRPr="007D4CC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învățământul superior, ciclul I – licență</w:t>
      </w:r>
      <w:r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planul de admitere </w:t>
      </w:r>
      <w:r w:rsidR="00C91158"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cu finanțare din bugetul de stat, </w:t>
      </w:r>
      <w:r w:rsidR="001778B6"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fiind</w:t>
      </w:r>
      <w:r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elaborat în baza </w:t>
      </w:r>
      <w:r w:rsidRPr="007D4CC7">
        <w:rPr>
          <w:rFonts w:ascii="Times New Roman" w:hAnsi="Times New Roman" w:cs="Times New Roman"/>
          <w:bCs/>
          <w:i/>
          <w:color w:val="000000"/>
          <w:sz w:val="28"/>
          <w:szCs w:val="28"/>
          <w:lang w:val="ro-RO"/>
        </w:rPr>
        <w:t>Nomenclatorului domeniilor de formare profesională şi al specialităţilor în învățământul superior</w:t>
      </w:r>
      <w:r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prevede admiterea a </w:t>
      </w:r>
      <w:r w:rsidRPr="007D4CC7">
        <w:rPr>
          <w:rFonts w:ascii="Times New Roman" w:hAnsi="Times New Roman" w:cs="Times New Roman"/>
          <w:b/>
          <w:bCs/>
          <w:sz w:val="28"/>
          <w:szCs w:val="28"/>
          <w:lang w:val="ro-RO" w:eastAsia="zh-CN"/>
        </w:rPr>
        <w:t>4906</w:t>
      </w:r>
      <w:r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 </w:t>
      </w:r>
      <w:r w:rsidR="00C91158"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persoane</w:t>
      </w:r>
      <w:r w:rsidR="00A55F46"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1778B6"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la locuri </w:t>
      </w:r>
      <w:r w:rsidR="00A55F46"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acordate în baza </w:t>
      </w:r>
      <w:r w:rsidR="001778B6" w:rsidRPr="007D4CC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buget</w:t>
      </w:r>
      <w:r w:rsidR="00A55F46" w:rsidRPr="007D4CC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ului de stat.</w:t>
      </w:r>
      <w:r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1474C9" w:rsidRDefault="001474C9" w:rsidP="001474C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C91158" w:rsidRPr="007D4CC7" w:rsidRDefault="001474C9" w:rsidP="001474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În același timp, reieșind din permanentele schimbări d</w:t>
      </w:r>
      <w:r w:rsidR="00C91158"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ictate de piața muncii, au fost propuse un șir de </w:t>
      </w:r>
      <w:r w:rsidR="00C91158" w:rsidRPr="007D4CC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specialități noi,</w:t>
      </w:r>
      <w:r w:rsidR="00C91158"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7D4CC7" w:rsidRPr="007D4CC7">
        <w:rPr>
          <w:rFonts w:ascii="Times New Roman" w:hAnsi="Times New Roman" w:cs="Times New Roman"/>
          <w:sz w:val="28"/>
          <w:szCs w:val="28"/>
          <w:lang w:val="ro-RO"/>
        </w:rPr>
        <w:t>comparativ cu planul anilor trecuți</w:t>
      </w:r>
      <w:r w:rsidR="007D4CC7">
        <w:rPr>
          <w:rFonts w:ascii="Times New Roman" w:hAnsi="Times New Roman" w:cs="Times New Roman"/>
          <w:sz w:val="28"/>
          <w:szCs w:val="28"/>
          <w:lang w:val="ro-RO"/>
        </w:rPr>
        <w:t>, dar</w:t>
      </w:r>
      <w:r w:rsidR="007D4CC7"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91158"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în limita locurilo</w:t>
      </w:r>
      <w:r w:rsid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r bugetare planificate, la următoarele </w:t>
      </w:r>
      <w:r w:rsidR="007D4CC7" w:rsidRPr="007D4CC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domenii</w:t>
      </w:r>
      <w:r w:rsidR="00C91158"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</w:p>
    <w:p w:rsidR="00C91158" w:rsidRPr="007D4CC7" w:rsidRDefault="00C91158" w:rsidP="00C9115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D4CC7">
        <w:rPr>
          <w:rFonts w:ascii="Times New Roman" w:hAnsi="Times New Roman" w:cs="Times New Roman"/>
          <w:b/>
          <w:sz w:val="28"/>
          <w:szCs w:val="28"/>
          <w:lang w:val="ro-RO"/>
        </w:rPr>
        <w:t>Inginerie și activități inginerești</w:t>
      </w:r>
      <w:r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Pr="007D4CC7">
        <w:rPr>
          <w:rFonts w:ascii="Times New Roman" w:hAnsi="Times New Roman" w:cs="Times New Roman"/>
          <w:i/>
          <w:sz w:val="28"/>
          <w:szCs w:val="28"/>
          <w:lang w:val="ro-RO"/>
        </w:rPr>
        <w:t>0714.3 Comunicații radio și televiziune, 0715.5 Mașini și mecanisme pentru construcții, 0715.7 Ingineria designului de produs, 0722.2 Ingineria prelucrării lemnului</w:t>
      </w:r>
      <w:r w:rsidRPr="007D4CC7">
        <w:rPr>
          <w:rFonts w:ascii="Times New Roman" w:hAnsi="Times New Roman" w:cs="Times New Roman"/>
          <w:b/>
          <w:sz w:val="28"/>
          <w:szCs w:val="28"/>
          <w:lang w:val="ro-RO"/>
        </w:rPr>
        <w:t>;</w:t>
      </w:r>
    </w:p>
    <w:p w:rsidR="00C91158" w:rsidRPr="007D4CC7" w:rsidRDefault="00C91158" w:rsidP="00C9115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D4CC7">
        <w:rPr>
          <w:rFonts w:ascii="Times New Roman" w:hAnsi="Times New Roman" w:cs="Times New Roman"/>
          <w:b/>
          <w:sz w:val="28"/>
          <w:szCs w:val="28"/>
          <w:lang w:val="ro-RO"/>
        </w:rPr>
        <w:t>Arte</w:t>
      </w:r>
      <w:r w:rsidRPr="007D4CC7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7D4C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7D4CC7">
        <w:rPr>
          <w:rFonts w:ascii="Times New Roman" w:hAnsi="Times New Roman" w:cs="Times New Roman"/>
          <w:bCs/>
          <w:i/>
          <w:sz w:val="28"/>
          <w:szCs w:val="28"/>
          <w:lang w:val="ro-RO"/>
        </w:rPr>
        <w:t xml:space="preserve">0211.2 </w:t>
      </w:r>
      <w:r w:rsidRPr="007D4CC7">
        <w:rPr>
          <w:rFonts w:ascii="Times New Roman" w:hAnsi="Times New Roman" w:cs="Times New Roman"/>
          <w:i/>
          <w:sz w:val="28"/>
          <w:szCs w:val="28"/>
          <w:lang w:val="ro-RO"/>
        </w:rPr>
        <w:t xml:space="preserve">Imagine film și TV, 0216.4 Dramaturgie şi scenaristică, 0214.2 Restaurarea și conservarea operelor de artă, 0216.2 Scenografie; </w:t>
      </w:r>
    </w:p>
    <w:p w:rsidR="00C91158" w:rsidRPr="007D4CC7" w:rsidRDefault="00C91158" w:rsidP="00C911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  <w:r w:rsidRPr="007D4CC7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="007D4CC7">
        <w:rPr>
          <w:rFonts w:ascii="Times New Roman" w:hAnsi="Times New Roman" w:cs="Times New Roman"/>
          <w:b/>
          <w:sz w:val="28"/>
          <w:szCs w:val="28"/>
          <w:lang w:val="ro-RO"/>
        </w:rPr>
        <w:t>tiințe</w:t>
      </w:r>
      <w:r w:rsidRPr="007D4C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Agricole</w:t>
      </w:r>
      <w:r w:rsidR="007D4CC7"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Pr="007D4CC7">
        <w:rPr>
          <w:rFonts w:ascii="Times New Roman" w:hAnsi="Times New Roman" w:cs="Times New Roman"/>
          <w:i/>
          <w:sz w:val="28"/>
          <w:szCs w:val="28"/>
          <w:lang w:val="ro-RO" w:eastAsia="zh-CN"/>
        </w:rPr>
        <w:t>0811.2 Selecţia şi genetica culturilor agricole;</w:t>
      </w:r>
    </w:p>
    <w:p w:rsidR="00C91158" w:rsidRPr="007D4CC7" w:rsidRDefault="00C91158" w:rsidP="00C911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  <w:r w:rsidRPr="007D4CC7">
        <w:rPr>
          <w:rFonts w:ascii="Times New Roman" w:hAnsi="Times New Roman" w:cs="Times New Roman"/>
          <w:b/>
          <w:sz w:val="28"/>
          <w:szCs w:val="28"/>
          <w:lang w:val="ro-RO"/>
        </w:rPr>
        <w:t>Sănăt</w:t>
      </w:r>
      <w:r w:rsidR="007D4CC7">
        <w:rPr>
          <w:rFonts w:ascii="Times New Roman" w:hAnsi="Times New Roman" w:cs="Times New Roman"/>
          <w:b/>
          <w:sz w:val="28"/>
          <w:szCs w:val="28"/>
          <w:lang w:val="ro-RO"/>
        </w:rPr>
        <w:t>ate</w:t>
      </w:r>
      <w:r w:rsidR="007D4CC7"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Pr="007D4CC7">
        <w:rPr>
          <w:rFonts w:ascii="Times New Roman" w:hAnsi="Times New Roman" w:cs="Times New Roman"/>
          <w:i/>
          <w:sz w:val="28"/>
          <w:szCs w:val="28"/>
          <w:lang w:val="ro-RO"/>
        </w:rPr>
        <w:t>913.1 Asistentă medicala general</w:t>
      </w:r>
      <w:r w:rsidRPr="007D4CC7">
        <w:rPr>
          <w:rFonts w:ascii="Times New Roman" w:hAnsi="Times New Roman" w:cs="Times New Roman"/>
          <w:sz w:val="28"/>
          <w:szCs w:val="28"/>
          <w:lang w:val="ro-RO"/>
        </w:rPr>
        <w:t>ă;</w:t>
      </w:r>
    </w:p>
    <w:p w:rsidR="00C91158" w:rsidRPr="007D4CC7" w:rsidRDefault="00C91158" w:rsidP="00C911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  <w:r w:rsidRPr="007D4CC7">
        <w:rPr>
          <w:rFonts w:ascii="Times New Roman" w:hAnsi="Times New Roman" w:cs="Times New Roman"/>
          <w:b/>
          <w:bCs/>
          <w:sz w:val="28"/>
          <w:szCs w:val="28"/>
          <w:lang w:val="ro-RO"/>
        </w:rPr>
        <w:t>Științe ale sportului</w:t>
      </w:r>
      <w:r w:rsidR="007D4CC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: </w:t>
      </w:r>
      <w:r w:rsidRPr="007D4CC7">
        <w:rPr>
          <w:rFonts w:ascii="Times New Roman" w:hAnsi="Times New Roman" w:cs="Times New Roman"/>
          <w:i/>
          <w:sz w:val="28"/>
          <w:szCs w:val="28"/>
          <w:lang w:val="ro-RO"/>
        </w:rPr>
        <w:t>1000.2 Organizarea și dirijarea sportului.</w:t>
      </w:r>
    </w:p>
    <w:p w:rsidR="001474C9" w:rsidRDefault="001474C9" w:rsidP="001474C9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o-RO"/>
        </w:rPr>
      </w:pPr>
    </w:p>
    <w:p w:rsidR="001474C9" w:rsidRPr="007D4CC7" w:rsidRDefault="001474C9" w:rsidP="001474C9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o-RO"/>
        </w:rPr>
        <w:t xml:space="preserve">Totodată, la ciclul I-licență </w:t>
      </w:r>
      <w:r w:rsidRPr="007D4CC7">
        <w:rPr>
          <w:rFonts w:ascii="Times New Roman" w:hAnsi="Times New Roman" w:cs="Times New Roman"/>
          <w:color w:val="000000"/>
          <w:spacing w:val="1"/>
          <w:sz w:val="28"/>
          <w:szCs w:val="28"/>
          <w:lang w:val="ro-RO"/>
        </w:rPr>
        <w:t>plan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o-RO"/>
        </w:rPr>
        <w:t xml:space="preserve">ul de admitere prevede </w:t>
      </w:r>
      <w:r w:rsidRPr="001474C9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o-RO"/>
        </w:rPr>
        <w:t xml:space="preserve">203 </w:t>
      </w:r>
      <w:r w:rsidRPr="001474C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o-RO"/>
        </w:rPr>
        <w:t>locuri finanțate din bugetul de stat la învățământul cu frecvența redusă</w:t>
      </w:r>
      <w:r w:rsidRPr="007D4CC7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ro-RO"/>
        </w:rPr>
        <w:t xml:space="preserve"> </w:t>
      </w:r>
      <w:r w:rsidRPr="007D4CC7">
        <w:rPr>
          <w:rFonts w:ascii="Times New Roman" w:hAnsi="Times New Roman" w:cs="Times New Roman"/>
          <w:iCs/>
          <w:color w:val="000000"/>
          <w:spacing w:val="4"/>
          <w:sz w:val="28"/>
          <w:szCs w:val="28"/>
          <w:lang w:val="ro-RO"/>
        </w:rPr>
        <w:t xml:space="preserve">pentru persoanele angajate în câmpul muncii, </w:t>
      </w:r>
      <w:r w:rsidRPr="007D4CC7">
        <w:rPr>
          <w:rFonts w:ascii="Times New Roman" w:hAnsi="Times New Roman" w:cs="Times New Roman"/>
          <w:color w:val="000000"/>
          <w:spacing w:val="6"/>
          <w:sz w:val="28"/>
          <w:szCs w:val="28"/>
          <w:lang w:val="ro-RO"/>
        </w:rPr>
        <w:t>care au nevoie de</w:t>
      </w:r>
      <w:r w:rsidRPr="007D4CC7">
        <w:rPr>
          <w:rFonts w:ascii="Times New Roman" w:hAnsi="Times New Roman" w:cs="Times New Roman"/>
          <w:color w:val="000000"/>
          <w:spacing w:val="1"/>
          <w:sz w:val="28"/>
          <w:szCs w:val="28"/>
          <w:lang w:val="ro-RO"/>
        </w:rPr>
        <w:t xml:space="preserve"> recalificarea studiilor anterioare sau completarea acestora. </w:t>
      </w:r>
    </w:p>
    <w:p w:rsidR="00C91158" w:rsidRPr="007D4CC7" w:rsidRDefault="00C91158" w:rsidP="00C91158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A55F46" w:rsidRPr="007D4CC7" w:rsidRDefault="002C0CEA" w:rsidP="00C91158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D4CC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La studii superioare de master (c</w:t>
      </w:r>
      <w:r w:rsidRPr="007D4C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iclul II),</w:t>
      </w:r>
      <w:r w:rsidRPr="007D4CC7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 </w:t>
      </w:r>
      <w:r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se prevede admiterea a </w:t>
      </w:r>
      <w:r w:rsidRPr="007D4CC7">
        <w:rPr>
          <w:rFonts w:ascii="Times New Roman" w:hAnsi="Times New Roman" w:cs="Times New Roman"/>
          <w:b/>
          <w:bCs/>
          <w:sz w:val="28"/>
          <w:szCs w:val="28"/>
          <w:lang w:val="ro-RO" w:eastAsia="ro-RO"/>
        </w:rPr>
        <w:t xml:space="preserve">2876 </w:t>
      </w:r>
      <w:r w:rsidR="00A55F46" w:rsidRPr="007D4CC7">
        <w:rPr>
          <w:rFonts w:ascii="Times New Roman" w:hAnsi="Times New Roman" w:cs="Times New Roman"/>
          <w:b/>
          <w:bCs/>
          <w:sz w:val="28"/>
          <w:szCs w:val="28"/>
          <w:lang w:val="ro-RO" w:eastAsia="ro-RO"/>
        </w:rPr>
        <w:t>de perso</w:t>
      </w:r>
      <w:r w:rsidR="00C91158" w:rsidRPr="007D4CC7">
        <w:rPr>
          <w:rFonts w:ascii="Times New Roman" w:hAnsi="Times New Roman" w:cs="Times New Roman"/>
          <w:b/>
          <w:bCs/>
          <w:sz w:val="28"/>
          <w:szCs w:val="28"/>
          <w:lang w:val="ro-RO" w:eastAsia="ro-RO"/>
        </w:rPr>
        <w:t>ane</w:t>
      </w:r>
      <w:r w:rsidR="00A55F46" w:rsidRPr="007D4CC7">
        <w:rPr>
          <w:rFonts w:ascii="Times New Roman" w:hAnsi="Times New Roman" w:cs="Times New Roman"/>
          <w:b/>
          <w:bCs/>
          <w:sz w:val="28"/>
          <w:szCs w:val="28"/>
          <w:lang w:val="ro-RO" w:eastAsia="ro-RO"/>
        </w:rPr>
        <w:t xml:space="preserve"> la </w:t>
      </w:r>
      <w:r w:rsidR="001778B6" w:rsidRPr="007D4CC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locuri </w:t>
      </w:r>
      <w:r w:rsidR="00A55F46" w:rsidRPr="007D4CC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finanțate din </w:t>
      </w:r>
      <w:r w:rsidR="001778B6" w:rsidRPr="007D4CC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buget</w:t>
      </w:r>
      <w:r w:rsidR="00E1003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ul de </w:t>
      </w:r>
      <w:r w:rsidR="00A55F46" w:rsidRPr="007D4CC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stat.</w:t>
      </w:r>
      <w:r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1474C9" w:rsidRDefault="001474C9" w:rsidP="001474C9">
      <w:pPr>
        <w:spacing w:line="312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:rsidR="002C0CEA" w:rsidRPr="007D4CC7" w:rsidRDefault="002C0CEA" w:rsidP="001474C9">
      <w:pPr>
        <w:spacing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D4C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La studii de rezidențiat </w:t>
      </w:r>
      <w:r w:rsidR="001778B6" w:rsidRPr="007D4C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au fost aprobate </w:t>
      </w:r>
      <w:r w:rsidRPr="007D4CC7">
        <w:rPr>
          <w:rFonts w:ascii="Times New Roman" w:hAnsi="Times New Roman" w:cs="Times New Roman"/>
          <w:b/>
          <w:bCs/>
          <w:sz w:val="28"/>
          <w:szCs w:val="28"/>
          <w:lang w:val="ro-RO" w:eastAsia="ro-RO"/>
        </w:rPr>
        <w:t>453</w:t>
      </w:r>
      <w:r w:rsidRPr="007D4CC7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 </w:t>
      </w:r>
      <w:r w:rsidR="001778B6" w:rsidRPr="007D4CC7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>de locuri bugetare</w:t>
      </w:r>
      <w:r w:rsidRPr="007D4CC7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 </w:t>
      </w:r>
      <w:r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pentru formarea profesională obligatorie a medicilor pe specialităţi. </w:t>
      </w:r>
    </w:p>
    <w:p w:rsidR="002C0CEA" w:rsidRPr="007D4CC7" w:rsidRDefault="002C0CEA" w:rsidP="001474C9">
      <w:pPr>
        <w:spacing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Pentru onorarea obligațiunilor Republicii Moldova în cadrul contractelor bilaterale încheiate cu diferite țări, </w:t>
      </w:r>
      <w:r w:rsidR="00A55F46"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au fost aprobate</w:t>
      </w:r>
      <w:r w:rsidR="00C91158"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A55F46"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pentru </w:t>
      </w:r>
      <w:r w:rsidRPr="007D4C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admiterea la studii a 297 de persoane – cetățeni străini</w:t>
      </w:r>
      <w:r w:rsidR="001474C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, </w:t>
      </w:r>
      <w:r w:rsidRPr="007D4CC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inclusiv 255 persoane - la studii superioare de licență (ciclul I) și 42 de persoane la studii superioare de master (ciclul II), pentru a motiva studenții străini să continue studiile universitare în Republica Moldova. </w:t>
      </w:r>
    </w:p>
    <w:p w:rsidR="00F87644" w:rsidRPr="00E1003A" w:rsidRDefault="009A02DE" w:rsidP="00B2149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7D4CC7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lastRenderedPageBreak/>
        <w:t>Pentru absolvenţii instituţiilor de învăţăm</w:t>
      </w:r>
      <w:r w:rsidR="00C91158" w:rsidRPr="007D4CC7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â</w:t>
      </w:r>
      <w:r w:rsidRPr="007D4CC7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nt preuniversitar din raioanele de est ale </w:t>
      </w:r>
      <w:r w:rsidR="00872DB3" w:rsidRPr="007D4CC7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R</w:t>
      </w:r>
      <w:r w:rsidRPr="007D4CC7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epublicii</w:t>
      </w:r>
      <w:r w:rsidR="00872DB3" w:rsidRPr="007D4CC7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Moldova</w:t>
      </w:r>
      <w:r w:rsidRPr="007D4CC7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şi mun. Bender</w:t>
      </w:r>
      <w:r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D4CC7">
        <w:rPr>
          <w:rFonts w:ascii="Times New Roman" w:hAnsi="Times New Roman" w:cs="Times New Roman"/>
          <w:color w:val="000000"/>
          <w:sz w:val="28"/>
          <w:szCs w:val="28"/>
          <w:lang w:val="ro-RO"/>
        </w:rPr>
        <w:t>s</w:t>
      </w:r>
      <w:r w:rsidR="00A55F46" w:rsidRPr="007D4CC7">
        <w:rPr>
          <w:rFonts w:ascii="Times New Roman" w:hAnsi="Times New Roman" w:cs="Times New Roman"/>
          <w:color w:val="000000"/>
          <w:sz w:val="28"/>
          <w:szCs w:val="28"/>
          <w:lang w:val="ro-RO"/>
        </w:rPr>
        <w:t>u</w:t>
      </w:r>
      <w:r w:rsidRPr="007D4CC7">
        <w:rPr>
          <w:rFonts w:ascii="Times New Roman" w:hAnsi="Times New Roman" w:cs="Times New Roman"/>
          <w:color w:val="000000"/>
          <w:sz w:val="28"/>
          <w:szCs w:val="28"/>
          <w:lang w:val="ro-RO"/>
        </w:rPr>
        <w:t>nt prevăzute</w:t>
      </w:r>
      <w:r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74C9" w:rsidRPr="00E1003A">
        <w:rPr>
          <w:rFonts w:ascii="Times New Roman" w:hAnsi="Times New Roman" w:cs="Times New Roman"/>
          <w:b/>
          <w:sz w:val="28"/>
          <w:szCs w:val="28"/>
          <w:lang w:val="ro-RO"/>
        </w:rPr>
        <w:t>238</w:t>
      </w:r>
      <w:r w:rsidRPr="00E100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</w:t>
      </w:r>
      <w:r w:rsidR="00E100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locuri </w:t>
      </w:r>
      <w:r w:rsidR="0070423F" w:rsidRPr="00E1003A">
        <w:rPr>
          <w:rFonts w:ascii="Times New Roman" w:hAnsi="Times New Roman" w:cs="Times New Roman"/>
          <w:b/>
          <w:sz w:val="28"/>
          <w:szCs w:val="28"/>
          <w:lang w:val="ro-RO"/>
        </w:rPr>
        <w:t>cu destinație specială</w:t>
      </w:r>
      <w:r w:rsidR="00E1003A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, finanțate din bugetul de stat.</w:t>
      </w:r>
    </w:p>
    <w:p w:rsidR="00A55F46" w:rsidRPr="007D4CC7" w:rsidRDefault="00A55F46" w:rsidP="00A55F46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7D4CC7">
        <w:rPr>
          <w:sz w:val="28"/>
          <w:szCs w:val="28"/>
        </w:rPr>
        <w:t>Î</w:t>
      </w:r>
      <w:r w:rsidRPr="007D4CC7">
        <w:rPr>
          <w:color w:val="000000"/>
          <w:sz w:val="28"/>
          <w:szCs w:val="28"/>
        </w:rPr>
        <w:t xml:space="preserve">nmatricularea pe </w:t>
      </w:r>
      <w:r w:rsidRPr="007D4CC7">
        <w:rPr>
          <w:b/>
          <w:color w:val="000000"/>
          <w:sz w:val="28"/>
          <w:szCs w:val="28"/>
        </w:rPr>
        <w:t>bază de contract</w:t>
      </w:r>
      <w:r w:rsidRPr="007D4CC7">
        <w:rPr>
          <w:color w:val="000000"/>
          <w:sz w:val="28"/>
          <w:szCs w:val="28"/>
        </w:rPr>
        <w:t xml:space="preserve"> cu achitarea taxei de studii se permite universităților publice și private la</w:t>
      </w:r>
      <w:r w:rsidRPr="007D4CC7">
        <w:rPr>
          <w:sz w:val="28"/>
          <w:szCs w:val="28"/>
        </w:rPr>
        <w:t xml:space="preserve"> specialități/programe de studii, </w:t>
      </w:r>
      <w:r w:rsidRPr="007D4CC7">
        <w:rPr>
          <w:color w:val="000000"/>
          <w:sz w:val="28"/>
          <w:szCs w:val="28"/>
        </w:rPr>
        <w:t>acreditate sau autorizate provizoriu, în baza metodologiei proprii a instituţiei de învățământ superior, în limita capacităţii de înmatriculare stabilită prin acreditare sau autorizarea de funcţionare provizorie.</w:t>
      </w:r>
    </w:p>
    <w:p w:rsidR="00B40A5A" w:rsidRPr="007D4CC7" w:rsidRDefault="00B40A5A" w:rsidP="00A55F46">
      <w:pPr>
        <w:pStyle w:val="a6"/>
        <w:spacing w:line="276" w:lineRule="auto"/>
        <w:jc w:val="both"/>
        <w:rPr>
          <w:color w:val="000000"/>
          <w:sz w:val="28"/>
          <w:szCs w:val="28"/>
        </w:rPr>
      </w:pPr>
    </w:p>
    <w:p w:rsidR="00A55F46" w:rsidRPr="007D4CC7" w:rsidRDefault="00E1003A" w:rsidP="00A55F46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Sesiunea de admitere se desfășoară</w:t>
      </w:r>
      <w:r w:rsidR="00A55F46" w:rsidRPr="007D4CC7">
        <w:rPr>
          <w:sz w:val="28"/>
          <w:szCs w:val="28"/>
        </w:rPr>
        <w:t xml:space="preserve"> în</w:t>
      </w:r>
      <w:r w:rsidR="00D103EB" w:rsidRPr="007D4CC7">
        <w:rPr>
          <w:sz w:val="28"/>
          <w:szCs w:val="28"/>
        </w:rPr>
        <w:t xml:space="preserve"> conformitate cu </w:t>
      </w:r>
      <w:r w:rsidR="00D103EB" w:rsidRPr="007D4CC7">
        <w:rPr>
          <w:bCs/>
          <w:i/>
          <w:sz w:val="28"/>
          <w:szCs w:val="28"/>
        </w:rPr>
        <w:t>Regulamentul-cadru privind organizare</w:t>
      </w:r>
      <w:r w:rsidR="00BE1D0F" w:rsidRPr="007D4CC7">
        <w:rPr>
          <w:bCs/>
          <w:i/>
          <w:sz w:val="28"/>
          <w:szCs w:val="28"/>
        </w:rPr>
        <w:t>a</w:t>
      </w:r>
      <w:r w:rsidR="00D103EB" w:rsidRPr="007D4CC7">
        <w:rPr>
          <w:bCs/>
          <w:i/>
          <w:sz w:val="28"/>
          <w:szCs w:val="28"/>
        </w:rPr>
        <w:t xml:space="preserve"> admiterii în Ciclul I – studii sup</w:t>
      </w:r>
      <w:r w:rsidR="00BE1D0F" w:rsidRPr="007D4CC7">
        <w:rPr>
          <w:bCs/>
          <w:i/>
          <w:sz w:val="28"/>
          <w:szCs w:val="28"/>
        </w:rPr>
        <w:t>erioare de licență pentru anul u</w:t>
      </w:r>
      <w:r w:rsidR="00D103EB" w:rsidRPr="007D4CC7">
        <w:rPr>
          <w:bCs/>
          <w:i/>
          <w:sz w:val="28"/>
          <w:szCs w:val="28"/>
        </w:rPr>
        <w:t xml:space="preserve">niversitar </w:t>
      </w:r>
      <w:r w:rsidR="00D103EB" w:rsidRPr="007D4CC7">
        <w:rPr>
          <w:bCs/>
          <w:sz w:val="28"/>
          <w:szCs w:val="28"/>
        </w:rPr>
        <w:t>201</w:t>
      </w:r>
      <w:r w:rsidR="00A55F46" w:rsidRPr="007D4CC7">
        <w:rPr>
          <w:bCs/>
          <w:sz w:val="28"/>
          <w:szCs w:val="28"/>
        </w:rPr>
        <w:t>8</w:t>
      </w:r>
      <w:r w:rsidR="00D103EB" w:rsidRPr="007D4CC7">
        <w:rPr>
          <w:bCs/>
          <w:sz w:val="28"/>
          <w:szCs w:val="28"/>
        </w:rPr>
        <w:t>-201</w:t>
      </w:r>
      <w:r w:rsidR="00A55F46" w:rsidRPr="007D4CC7">
        <w:rPr>
          <w:bCs/>
          <w:sz w:val="28"/>
          <w:szCs w:val="28"/>
        </w:rPr>
        <w:t xml:space="preserve">9, </w:t>
      </w:r>
      <w:r w:rsidR="004D2167">
        <w:rPr>
          <w:bCs/>
          <w:sz w:val="28"/>
          <w:szCs w:val="28"/>
        </w:rPr>
        <w:t xml:space="preserve">aprobat prin ordinul ministrului nr.485 din 18.04.18, </w:t>
      </w:r>
      <w:bookmarkStart w:id="0" w:name="_GoBack"/>
      <w:bookmarkEnd w:id="0"/>
      <w:r w:rsidR="00A55F46" w:rsidRPr="007D4CC7">
        <w:rPr>
          <w:bCs/>
          <w:sz w:val="28"/>
          <w:szCs w:val="28"/>
        </w:rPr>
        <w:t xml:space="preserve">precum și în baza </w:t>
      </w:r>
      <w:r w:rsidR="00A55F46" w:rsidRPr="007D4CC7">
        <w:rPr>
          <w:i/>
          <w:sz w:val="28"/>
          <w:szCs w:val="28"/>
        </w:rPr>
        <w:t>Regulamentului</w:t>
      </w:r>
      <w:r w:rsidR="00A55F46" w:rsidRPr="007D4CC7">
        <w:rPr>
          <w:sz w:val="28"/>
          <w:szCs w:val="28"/>
        </w:rPr>
        <w:t xml:space="preserve"> </w:t>
      </w:r>
      <w:r w:rsidR="00A55F46" w:rsidRPr="007D4CC7">
        <w:rPr>
          <w:i/>
          <w:sz w:val="28"/>
          <w:szCs w:val="28"/>
        </w:rPr>
        <w:t>cu privire la organizarea studiilor superioare de master, ciclul II</w:t>
      </w:r>
      <w:r w:rsidR="00A55F46" w:rsidRPr="007D4CC7">
        <w:rPr>
          <w:sz w:val="28"/>
          <w:szCs w:val="28"/>
        </w:rPr>
        <w:t>, aprobat prin Hotărârea Guvernului nr. 464 din 28.07.2015</w:t>
      </w:r>
    </w:p>
    <w:p w:rsidR="00F64069" w:rsidRPr="007D4CC7" w:rsidRDefault="00D103EB" w:rsidP="00A55F46">
      <w:pPr>
        <w:pStyle w:val="a6"/>
        <w:spacing w:line="276" w:lineRule="auto"/>
        <w:jc w:val="both"/>
        <w:rPr>
          <w:sz w:val="28"/>
          <w:szCs w:val="28"/>
        </w:rPr>
      </w:pPr>
      <w:r w:rsidRPr="007D4CC7">
        <w:rPr>
          <w:bCs/>
          <w:sz w:val="28"/>
          <w:szCs w:val="28"/>
        </w:rPr>
        <w:t xml:space="preserve"> </w:t>
      </w:r>
    </w:p>
    <w:p w:rsidR="00DE6F00" w:rsidRDefault="00430ABA" w:rsidP="00DE6F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D4CC7">
        <w:rPr>
          <w:rFonts w:ascii="Times New Roman" w:hAnsi="Times New Roman" w:cs="Times New Roman"/>
          <w:b/>
          <w:sz w:val="28"/>
          <w:szCs w:val="28"/>
          <w:lang w:val="ro-RO"/>
        </w:rPr>
        <w:t>Perioade de admitere</w:t>
      </w:r>
      <w:r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A55F46"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În acest an fiecare universitate îşi stabileşte </w:t>
      </w:r>
      <w:r w:rsidR="00DE6F00">
        <w:rPr>
          <w:rFonts w:ascii="Times New Roman" w:hAnsi="Times New Roman" w:cs="Times New Roman"/>
          <w:sz w:val="28"/>
          <w:szCs w:val="28"/>
          <w:lang w:val="ro-RO"/>
        </w:rPr>
        <w:t>propriile termene</w:t>
      </w:r>
      <w:r w:rsidR="00A55F46"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DE6F00">
        <w:rPr>
          <w:rFonts w:ascii="Times New Roman" w:hAnsi="Times New Roman" w:cs="Times New Roman"/>
          <w:sz w:val="28"/>
          <w:szCs w:val="28"/>
          <w:lang w:val="ro-RO"/>
        </w:rPr>
        <w:t xml:space="preserve">depunere a actelor </w:t>
      </w:r>
      <w:r w:rsidR="00CD67B4">
        <w:rPr>
          <w:rFonts w:ascii="Times New Roman" w:hAnsi="Times New Roman" w:cs="Times New Roman"/>
          <w:sz w:val="28"/>
          <w:szCs w:val="28"/>
          <w:lang w:val="ro-RO"/>
        </w:rPr>
        <w:t>de studii</w:t>
      </w:r>
      <w:r w:rsidR="00A55F46"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 şi metodologia proprie de admitere.</w:t>
      </w:r>
      <w:r w:rsidR="00B40A5A"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D1C60" w:rsidRPr="007D4CC7" w:rsidRDefault="00DE6F00" w:rsidP="00DE6F00">
      <w:p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acest con</w:t>
      </w:r>
      <w:r w:rsidR="008D1C60">
        <w:rPr>
          <w:rFonts w:ascii="Times New Roman" w:hAnsi="Times New Roman" w:cs="Times New Roman"/>
          <w:sz w:val="28"/>
          <w:szCs w:val="28"/>
          <w:lang w:val="ro-RO"/>
        </w:rPr>
        <w:t>t</w:t>
      </w:r>
      <w:r>
        <w:rPr>
          <w:rFonts w:ascii="Times New Roman" w:hAnsi="Times New Roman" w:cs="Times New Roman"/>
          <w:sz w:val="28"/>
          <w:szCs w:val="28"/>
          <w:lang w:val="ro-RO"/>
        </w:rPr>
        <w:t>ext, i</w:t>
      </w:r>
      <w:r w:rsidR="00A55F46"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nformaţiile necesare </w:t>
      </w:r>
      <w:r w:rsidR="00B40A5A"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candidații le </w:t>
      </w:r>
      <w:r w:rsidR="00A55F46" w:rsidRPr="007D4CC7">
        <w:rPr>
          <w:rFonts w:ascii="Times New Roman" w:hAnsi="Times New Roman" w:cs="Times New Roman"/>
          <w:sz w:val="28"/>
          <w:szCs w:val="28"/>
          <w:lang w:val="ro-RO"/>
        </w:rPr>
        <w:t>pot găsi pe site-urile universităţilor şi pe cel a MECC</w:t>
      </w:r>
      <w:r w:rsidR="008D1C60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hyperlink r:id="rId5" w:history="1">
        <w:proofErr w:type="spellStart"/>
        <w:r w:rsidR="008D1C60" w:rsidRPr="008D1C60">
          <w:rPr>
            <w:rStyle w:val="a8"/>
            <w:rFonts w:ascii="Times New Roman" w:hAnsi="Times New Roman" w:cs="Times New Roman"/>
            <w:i/>
            <w:sz w:val="28"/>
            <w:szCs w:val="28"/>
            <w:lang w:val="ro-RO"/>
          </w:rPr>
          <w:t>www.mecc.gov.md</w:t>
        </w:r>
        <w:proofErr w:type="spellEnd"/>
        <w:r w:rsidR="008D1C60" w:rsidRPr="008D1C60">
          <w:rPr>
            <w:rStyle w:val="a8"/>
            <w:rFonts w:ascii="Times New Roman" w:hAnsi="Times New Roman" w:cs="Times New Roman"/>
            <w:i/>
            <w:sz w:val="28"/>
            <w:szCs w:val="28"/>
            <w:lang w:val="ro-RO"/>
          </w:rPr>
          <w:t>/</w:t>
        </w:r>
        <w:r w:rsidRPr="008D1C60">
          <w:rPr>
            <w:rStyle w:val="a8"/>
            <w:rFonts w:ascii="Times New Roman" w:hAnsi="Times New Roman" w:cs="Times New Roman"/>
            <w:i/>
            <w:sz w:val="28"/>
            <w:szCs w:val="28"/>
            <w:lang w:val="ro-RO"/>
          </w:rPr>
          <w:t>învățământ</w:t>
        </w:r>
        <w:r w:rsidR="00A55F46" w:rsidRPr="008D1C60">
          <w:rPr>
            <w:rStyle w:val="a8"/>
            <w:rFonts w:ascii="Times New Roman" w:hAnsi="Times New Roman" w:cs="Times New Roman"/>
            <w:i/>
            <w:sz w:val="28"/>
            <w:szCs w:val="28"/>
            <w:lang w:val="ro-RO"/>
          </w:rPr>
          <w:t xml:space="preserve"> </w:t>
        </w:r>
        <w:r w:rsidRPr="008D1C60">
          <w:rPr>
            <w:rStyle w:val="a8"/>
            <w:rFonts w:ascii="Times New Roman" w:hAnsi="Times New Roman" w:cs="Times New Roman"/>
            <w:i/>
            <w:sz w:val="28"/>
            <w:szCs w:val="28"/>
            <w:lang w:val="ro-RO"/>
          </w:rPr>
          <w:t>s</w:t>
        </w:r>
        <w:r w:rsidR="00A55F46" w:rsidRPr="008D1C60">
          <w:rPr>
            <w:rStyle w:val="a8"/>
            <w:rFonts w:ascii="Times New Roman" w:hAnsi="Times New Roman" w:cs="Times New Roman"/>
            <w:i/>
            <w:sz w:val="28"/>
            <w:szCs w:val="28"/>
            <w:lang w:val="ro-RO"/>
          </w:rPr>
          <w:t>uperior/admitere</w:t>
        </w:r>
      </w:hyperlink>
    </w:p>
    <w:p w:rsidR="00A55F46" w:rsidRPr="00DE6F00" w:rsidRDefault="00430ABA" w:rsidP="00DE6F00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E6F00">
        <w:rPr>
          <w:rFonts w:ascii="Times New Roman" w:hAnsi="Times New Roman" w:cs="Times New Roman"/>
          <w:b/>
          <w:sz w:val="28"/>
          <w:szCs w:val="28"/>
          <w:lang w:val="ro-RO"/>
        </w:rPr>
        <w:t>At</w:t>
      </w:r>
      <w:r w:rsidR="00DE6F00">
        <w:rPr>
          <w:rFonts w:ascii="Times New Roman" w:hAnsi="Times New Roman" w:cs="Times New Roman"/>
          <w:b/>
          <w:sz w:val="28"/>
          <w:szCs w:val="28"/>
          <w:lang w:val="ro-RO"/>
        </w:rPr>
        <w:t>enţie</w:t>
      </w:r>
      <w:r w:rsidR="00A55F46" w:rsidRPr="00DE6F00">
        <w:rPr>
          <w:rFonts w:ascii="Times New Roman" w:hAnsi="Times New Roman" w:cs="Times New Roman"/>
          <w:b/>
          <w:sz w:val="28"/>
          <w:szCs w:val="28"/>
          <w:lang w:val="ro-RO"/>
        </w:rPr>
        <w:t>! Fiecare uni</w:t>
      </w:r>
      <w:r w:rsidR="00DE6F00">
        <w:rPr>
          <w:rFonts w:ascii="Times New Roman" w:hAnsi="Times New Roman" w:cs="Times New Roman"/>
          <w:b/>
          <w:sz w:val="28"/>
          <w:szCs w:val="28"/>
          <w:lang w:val="ro-RO"/>
        </w:rPr>
        <w:t>versitate are calendarul său de</w:t>
      </w:r>
      <w:r w:rsidR="00A55F46" w:rsidRPr="00DE6F0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admitere și </w:t>
      </w:r>
      <w:r w:rsidRPr="00DE6F00">
        <w:rPr>
          <w:rFonts w:ascii="Times New Roman" w:hAnsi="Times New Roman" w:cs="Times New Roman"/>
          <w:b/>
          <w:sz w:val="28"/>
          <w:szCs w:val="28"/>
          <w:lang w:val="ro-RO"/>
        </w:rPr>
        <w:t xml:space="preserve">fiecare candidat </w:t>
      </w:r>
      <w:r w:rsidR="00A55F46" w:rsidRPr="00DE6F00">
        <w:rPr>
          <w:rFonts w:ascii="Times New Roman" w:hAnsi="Times New Roman" w:cs="Times New Roman"/>
          <w:b/>
          <w:sz w:val="28"/>
          <w:szCs w:val="28"/>
          <w:lang w:val="ro-RO"/>
        </w:rPr>
        <w:t xml:space="preserve">trebuie să </w:t>
      </w:r>
      <w:r w:rsidR="00E1003A" w:rsidRPr="00DE6F00">
        <w:rPr>
          <w:rFonts w:ascii="Times New Roman" w:hAnsi="Times New Roman" w:cs="Times New Roman"/>
          <w:b/>
          <w:sz w:val="28"/>
          <w:szCs w:val="28"/>
          <w:lang w:val="ro-RO"/>
        </w:rPr>
        <w:t>urmărească</w:t>
      </w:r>
      <w:r w:rsidR="00A55F46" w:rsidRPr="00DE6F00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A55F46" w:rsidRPr="007D4CC7" w:rsidRDefault="00A55F46" w:rsidP="00A55F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Perioada de depunere actelor în copie sau în </w:t>
      </w:r>
      <w:r w:rsidR="00DE6F00" w:rsidRPr="007D4CC7">
        <w:rPr>
          <w:rFonts w:ascii="Times New Roman" w:hAnsi="Times New Roman" w:cs="Times New Roman"/>
          <w:sz w:val="28"/>
          <w:szCs w:val="28"/>
          <w:lang w:val="ro-RO"/>
        </w:rPr>
        <w:t>original</w:t>
      </w:r>
      <w:r w:rsidRPr="007D4CC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55F46" w:rsidRPr="007D4CC7" w:rsidRDefault="00A55F46" w:rsidP="00A55F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D4CC7">
        <w:rPr>
          <w:rFonts w:ascii="Times New Roman" w:hAnsi="Times New Roman" w:cs="Times New Roman"/>
          <w:sz w:val="28"/>
          <w:szCs w:val="28"/>
          <w:lang w:val="ro-RO"/>
        </w:rPr>
        <w:t xml:space="preserve">Anunţarea rezultatelor </w:t>
      </w:r>
      <w:r w:rsidR="00DE6F00" w:rsidRPr="007D4CC7">
        <w:rPr>
          <w:rFonts w:ascii="Times New Roman" w:hAnsi="Times New Roman" w:cs="Times New Roman"/>
          <w:sz w:val="28"/>
          <w:szCs w:val="28"/>
          <w:lang w:val="ro-RO"/>
        </w:rPr>
        <w:t>intermediare</w:t>
      </w:r>
      <w:r w:rsidRPr="007D4CC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55F46" w:rsidRPr="007D4CC7" w:rsidRDefault="00A55F46" w:rsidP="00A55F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D4CC7">
        <w:rPr>
          <w:rFonts w:ascii="Times New Roman" w:hAnsi="Times New Roman" w:cs="Times New Roman"/>
          <w:sz w:val="28"/>
          <w:szCs w:val="28"/>
          <w:lang w:val="ro-RO"/>
        </w:rPr>
        <w:t>Depunerea actelor în original la specialitatea aleasă pentru confirmarea locului bugetar obținut.</w:t>
      </w:r>
    </w:p>
    <w:p w:rsidR="00DE6F00" w:rsidRDefault="00DE6F00" w:rsidP="00DE6F00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E6F00" w:rsidRDefault="00A55F46" w:rsidP="00DE6F00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D4CC7">
        <w:rPr>
          <w:rFonts w:ascii="Times New Roman" w:hAnsi="Times New Roman" w:cs="Times New Roman"/>
          <w:b/>
          <w:sz w:val="28"/>
          <w:szCs w:val="28"/>
          <w:lang w:val="ro-RO"/>
        </w:rPr>
        <w:t>La câte universităţi po</w:t>
      </w:r>
      <w:r w:rsidR="00430ABA" w:rsidRPr="007D4CC7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Pr="007D4C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depune actele</w:t>
      </w:r>
      <w:r w:rsidR="00B40A5A" w:rsidRPr="007D4C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studii </w:t>
      </w:r>
      <w:r w:rsidR="00430ABA" w:rsidRPr="007D4CC7">
        <w:rPr>
          <w:rFonts w:ascii="Times New Roman" w:hAnsi="Times New Roman" w:cs="Times New Roman"/>
          <w:b/>
          <w:sz w:val="28"/>
          <w:szCs w:val="28"/>
          <w:lang w:val="ro-RO"/>
        </w:rPr>
        <w:t>candidații</w:t>
      </w:r>
      <w:r w:rsidRPr="007D4CC7">
        <w:rPr>
          <w:rFonts w:ascii="Times New Roman" w:hAnsi="Times New Roman" w:cs="Times New Roman"/>
          <w:b/>
          <w:sz w:val="28"/>
          <w:szCs w:val="28"/>
          <w:lang w:val="ro-RO"/>
        </w:rPr>
        <w:t>?</w:t>
      </w:r>
      <w:r w:rsidR="00B40A5A" w:rsidRPr="007D4C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A55F46" w:rsidRPr="007D4CC7" w:rsidRDefault="00A55F46" w:rsidP="00DE6F00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7D4CC7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Candidații la studii superioare de licență vor putea să se înscrie la concursul de admitere concomitent la mai multe specialități din diverse domenii, la una sau mai multe instituții de </w:t>
      </w:r>
      <w:r w:rsidR="00DE6F00" w:rsidRPr="007D4CC7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învățământ</w:t>
      </w:r>
      <w:r w:rsidRPr="007D4CC7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superior, însă vor putea fi înmatriculați doar la o specialitate în cadrul unei singure instituții, unde vor depune actele în original.</w:t>
      </w:r>
    </w:p>
    <w:p w:rsidR="00A55F46" w:rsidRPr="007D4CC7" w:rsidRDefault="00A55F46" w:rsidP="00A55F4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:rsidR="00A55F46" w:rsidRPr="007D4CC7" w:rsidRDefault="00A55F46" w:rsidP="00A55F4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:rsidR="00973200" w:rsidRPr="007D4CC7" w:rsidRDefault="00973200" w:rsidP="00362369">
      <w:pPr>
        <w:tabs>
          <w:tab w:val="left" w:pos="1119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3200" w:rsidRPr="007D4CC7" w:rsidRDefault="00973200" w:rsidP="00973200">
      <w:pPr>
        <w:tabs>
          <w:tab w:val="left" w:pos="1119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D4C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Direcția </w:t>
      </w:r>
      <w:r w:rsidR="00B2149F" w:rsidRPr="007D4C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Politici în domeniul </w:t>
      </w:r>
      <w:r w:rsidR="00DE6F00" w:rsidRPr="007D4CC7">
        <w:rPr>
          <w:rFonts w:ascii="Times New Roman" w:hAnsi="Times New Roman" w:cs="Times New Roman"/>
          <w:b/>
          <w:sz w:val="28"/>
          <w:szCs w:val="28"/>
          <w:lang w:val="ro-RO"/>
        </w:rPr>
        <w:t>învățământului</w:t>
      </w:r>
      <w:r w:rsidR="00B2149F" w:rsidRPr="007D4C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superior</w:t>
      </w:r>
    </w:p>
    <w:sectPr w:rsidR="00973200" w:rsidRPr="007D4CC7" w:rsidSect="00E1003A">
      <w:pgSz w:w="11906" w:h="16838"/>
      <w:pgMar w:top="900" w:right="83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ABB"/>
    <w:multiLevelType w:val="hybridMultilevel"/>
    <w:tmpl w:val="09A44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61B6"/>
    <w:multiLevelType w:val="hybridMultilevel"/>
    <w:tmpl w:val="DE94590E"/>
    <w:lvl w:ilvl="0" w:tplc="94CE1834">
      <w:numFmt w:val="bullet"/>
      <w:lvlText w:val="-"/>
      <w:lvlJc w:val="left"/>
      <w:pPr>
        <w:ind w:left="735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1D515F41"/>
    <w:multiLevelType w:val="hybridMultilevel"/>
    <w:tmpl w:val="BFD008C6"/>
    <w:lvl w:ilvl="0" w:tplc="FF609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F24DA"/>
    <w:multiLevelType w:val="hybridMultilevel"/>
    <w:tmpl w:val="A74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53063"/>
    <w:multiLevelType w:val="hybridMultilevel"/>
    <w:tmpl w:val="B47220AC"/>
    <w:lvl w:ilvl="0" w:tplc="8318AACA">
      <w:start w:val="1"/>
      <w:numFmt w:val="decimal"/>
      <w:lvlText w:val="%1."/>
      <w:lvlJc w:val="left"/>
      <w:pPr>
        <w:ind w:left="1741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4AC75BD"/>
    <w:multiLevelType w:val="hybridMultilevel"/>
    <w:tmpl w:val="E836F60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4DD35CD8"/>
    <w:multiLevelType w:val="hybridMultilevel"/>
    <w:tmpl w:val="150E364E"/>
    <w:lvl w:ilvl="0" w:tplc="B8260410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1B00384"/>
    <w:multiLevelType w:val="hybridMultilevel"/>
    <w:tmpl w:val="2AE895AA"/>
    <w:lvl w:ilvl="0" w:tplc="B8260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636B5"/>
    <w:multiLevelType w:val="hybridMultilevel"/>
    <w:tmpl w:val="1CA65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6FE"/>
    <w:rsid w:val="000220AD"/>
    <w:rsid w:val="00052F58"/>
    <w:rsid w:val="000A274D"/>
    <w:rsid w:val="00144705"/>
    <w:rsid w:val="001474C9"/>
    <w:rsid w:val="001778B6"/>
    <w:rsid w:val="0018085E"/>
    <w:rsid w:val="001907FD"/>
    <w:rsid w:val="001C6F50"/>
    <w:rsid w:val="002032CD"/>
    <w:rsid w:val="0022342D"/>
    <w:rsid w:val="002353C2"/>
    <w:rsid w:val="00246DEB"/>
    <w:rsid w:val="00262DFD"/>
    <w:rsid w:val="002C079A"/>
    <w:rsid w:val="002C0CEA"/>
    <w:rsid w:val="00362369"/>
    <w:rsid w:val="0039668D"/>
    <w:rsid w:val="00396792"/>
    <w:rsid w:val="003B1485"/>
    <w:rsid w:val="003B5B75"/>
    <w:rsid w:val="00410B77"/>
    <w:rsid w:val="00430ABA"/>
    <w:rsid w:val="00497ACD"/>
    <w:rsid w:val="004D2167"/>
    <w:rsid w:val="004E1517"/>
    <w:rsid w:val="00570926"/>
    <w:rsid w:val="0060703D"/>
    <w:rsid w:val="006734C7"/>
    <w:rsid w:val="0068524D"/>
    <w:rsid w:val="006A128C"/>
    <w:rsid w:val="006A36FE"/>
    <w:rsid w:val="006A7A23"/>
    <w:rsid w:val="006D48F0"/>
    <w:rsid w:val="006E2E0D"/>
    <w:rsid w:val="006F699F"/>
    <w:rsid w:val="0070423F"/>
    <w:rsid w:val="0070761D"/>
    <w:rsid w:val="007208AC"/>
    <w:rsid w:val="00763916"/>
    <w:rsid w:val="007D4CC7"/>
    <w:rsid w:val="0080040A"/>
    <w:rsid w:val="00813D31"/>
    <w:rsid w:val="00817220"/>
    <w:rsid w:val="008265D5"/>
    <w:rsid w:val="00872DB3"/>
    <w:rsid w:val="00890D4A"/>
    <w:rsid w:val="008A5F6F"/>
    <w:rsid w:val="008D1C60"/>
    <w:rsid w:val="00907FD5"/>
    <w:rsid w:val="00922055"/>
    <w:rsid w:val="00927D3E"/>
    <w:rsid w:val="00971617"/>
    <w:rsid w:val="00973200"/>
    <w:rsid w:val="00990E17"/>
    <w:rsid w:val="009A02DE"/>
    <w:rsid w:val="009B7957"/>
    <w:rsid w:val="00A4067D"/>
    <w:rsid w:val="00A55F46"/>
    <w:rsid w:val="00A63180"/>
    <w:rsid w:val="00B2149F"/>
    <w:rsid w:val="00B40A5A"/>
    <w:rsid w:val="00B727DC"/>
    <w:rsid w:val="00B84FC4"/>
    <w:rsid w:val="00BE1D0F"/>
    <w:rsid w:val="00C91158"/>
    <w:rsid w:val="00CD67B4"/>
    <w:rsid w:val="00D103EB"/>
    <w:rsid w:val="00D1094F"/>
    <w:rsid w:val="00D26AC6"/>
    <w:rsid w:val="00D43104"/>
    <w:rsid w:val="00D55273"/>
    <w:rsid w:val="00D66A63"/>
    <w:rsid w:val="00DA5684"/>
    <w:rsid w:val="00DE6F00"/>
    <w:rsid w:val="00E02120"/>
    <w:rsid w:val="00E1003A"/>
    <w:rsid w:val="00E23237"/>
    <w:rsid w:val="00E27DCA"/>
    <w:rsid w:val="00F0379A"/>
    <w:rsid w:val="00F64069"/>
    <w:rsid w:val="00F87644"/>
    <w:rsid w:val="00F90C59"/>
    <w:rsid w:val="00FA55FA"/>
    <w:rsid w:val="00FC531F"/>
    <w:rsid w:val="00FE2B21"/>
    <w:rsid w:val="00FE7B6F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1D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1D"/>
    <w:pPr>
      <w:ind w:left="720"/>
      <w:contextualSpacing/>
    </w:pPr>
  </w:style>
  <w:style w:type="paragraph" w:customStyle="1" w:styleId="Default">
    <w:name w:val="Default"/>
    <w:rsid w:val="00707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4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7D"/>
    <w:rPr>
      <w:rFonts w:ascii="Segoe UI" w:eastAsiaTheme="minorEastAsia" w:hAnsi="Segoe UI" w:cs="Segoe UI"/>
      <w:sz w:val="18"/>
      <w:szCs w:val="18"/>
      <w:lang w:val="en-US"/>
    </w:rPr>
  </w:style>
  <w:style w:type="paragraph" w:styleId="a6">
    <w:name w:val="Body Text"/>
    <w:basedOn w:val="a"/>
    <w:link w:val="a7"/>
    <w:rsid w:val="00A55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a7">
    <w:name w:val="Основной текст Знак"/>
    <w:basedOn w:val="a0"/>
    <w:link w:val="a6"/>
    <w:rsid w:val="00A55F46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DE6F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cc.gov.md/ro/content/admitere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Mischevca Ion</cp:lastModifiedBy>
  <cp:revision>7</cp:revision>
  <cp:lastPrinted>2015-06-29T11:30:00Z</cp:lastPrinted>
  <dcterms:created xsi:type="dcterms:W3CDTF">2018-07-16T08:04:00Z</dcterms:created>
  <dcterms:modified xsi:type="dcterms:W3CDTF">2018-07-16T13:40:00Z</dcterms:modified>
</cp:coreProperties>
</file>